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and architecture. Proficient in leading teams and projects with a strong emphasis on innovative solutions and high-quality delivery. Expertise in full-stack development, leveraging advanced tools and technologies to create robust applications and systems. Proven track record of implementing best practices in software engineering, including testing and code reviews, ensuring efficiency and reliability in all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integration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through a seamless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apply Agile methodologies, streamlining project timelines and improving delivery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regression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increased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continuous improvement and knowledge sharing among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in applications using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protecting sensitive data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services, optimizing costs and resources through efficient architecture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NoSQL databases such as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retrieval and storage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profiling and optimization techniques, achieving a significant reduction in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fostering collaboration and innovative solutions, improving team efficiency by over 25%.</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critical components of software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robust backend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full-stack solutions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integration with backend APIs and database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effectively translating customer requirements into technical specifications to drive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reducing defects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continuous refactoring and employing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static analysis and code quality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cross-team initiatives, aligning development efforts with business objectives for enhanced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configurations and deployments in cloud platforms, specifically </w:t>
      </w:r>
      <w:r w:rsidRPr="00432203">
        <w:rPr>
          <w:rFonts w:asciiTheme="minorHAnsi" w:eastAsia="Times New Roman" w:hAnsiTheme="minorHAnsi" w:cs="Times New Roman"/>
          <w:b/>
          <w:bCs/>
          <w:lang w:val="en-US"/>
        </w:rPr>
        <w:t xml:space="preserve">AWS ECS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reliability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optimizing query performance and ensuring data integrity throughout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standards, facilitating knowledge transfer and onboarding for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eLearning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management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flow and storage solutions during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software issues, improving team response time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in implementing software enhancements and modifications to existing systems, promoting ongoing improvement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empowering staff to use developed applications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real-time serial data processing projects using specific libraries, leading a successful deployment of projects to 500+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