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web development and application architecture. Strong proficiency in building scalable solutions using Java, Spring Boot, and React. Adept in testing methodologies and CI/CD practices, enhancing software efficiency and performance. Proven track record in leading cross-functional teams and managing high-impact projects, ensuring delivery aligns with business goals. Excels in an agile environment, focusing on iterative development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microservices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resource management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production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best practices for software design and coding standards, resulting in cleaner, more maintainable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connections to achieve a 20% reduction in data retrieval time 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enrich application functionality, resulting in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 prior to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design and implement user-centered features, effectively translating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engineering principles and best practices, fostering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employing industry standards for data encryption and access control, significantly mitigating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analyze performance metrics and debug issues, leading to a proactive approach to software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microservices, promoting community engagement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user interface for enhanced customer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 between front-end and back-end services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planning, daily stand-ups, and retrospectives to improve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test coverage and minimize bug incidence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containerized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and reliable cloud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monitoring and logging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application uptime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the reliability of APIs and validate their functionality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maintained schema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user feedback through usability testing sessions, iteratively refining applications to meet customer needs effectively as requested by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promoting best practices throughout the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backend services, focusing on data consistency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deploy educational software solutions that increased learning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legacy code management and adaptation to modern development practices, ensuring operational continuity in application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standards for API frameworks, supporting team onboarding and knowledge transfer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a project that revamped a key digital learning platform, achieving a 35% increase in user satisfaction according to client reviews.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