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designer with over 9 years of experience crafting impactful digital experiences at leading tech companies. Proven expertise in utilizing advanced AI tools and cutting-edge design techniques to deliver visually compelling content across multiple platforms. Exceptional ability to integrate emerging technologies into creative workflows, ensuring elevated standards of design excellence while mentoring junior designers.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production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AI-generated visuals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animations for high-profile campaigns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Midjourney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Runway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Conceptualized and executed social-first content across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Instagram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TikTok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brand visibility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visual identities for AI-focused storytelling, ensuring a cohesive brand narrative across all mediums.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mentor designers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creative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ethical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marketing teams to blend creative storytelling with strategic messaging, resulting in successful product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Blender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immersive and interactive digital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visual excellence by using metrics and feedback for continuous design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rapid prototypes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Stable Diffusion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pushing creative boundaries and setting industry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new AI tools and integrated them into the creative process, resulting in innovative content creation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content that resonated with diverse audiences, showcasing adaptability and understanding of platform-specific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design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reducing time-to-market for design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testing methodologies to evaluate new design solutions, ensuring they met high standards of quality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visually engaging marketing campaigns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Photoshop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prototypes that showcased innovative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design critiques that pushed for creative excellence and fostered a collaborative culture among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design solutions for product updates and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visual consistency across brand touchpoints while adapting designs for various channels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designers in design principles and the effective use of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user research initiatives to gather insights that informed design decisions,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design system that standardized UI components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lightweight, responsive web design, enhancing mobile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Launched a series of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accessibility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design, promoting inclusive design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e-learning materials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ensure design feasibility and execution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 blog by sharing insights on design trends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creative 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visuals for internal presentations and marketing initiatives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that explored the intersection of design and technology, fostering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user engagement through effective visual storytelling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Creative Suite, Figma, Sketch, InVision, Procreate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Midjourney, DALL·E, Runway, Stable Diffusion, Sora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Motion &amp; Animation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After Effects, Blender, Cinema 4D, Maya, Spark 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Python, Creative Coding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Asana,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