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Backend Engineer with over 9 years of extensive experience in building large-scale, fault-tolerant distributed systems and API microservices. Proven expertise in optimizing performance and resource allocation using advanced technologies, including GPU acceleration and multi-threading. Skilled in collaborating with research teams to bring cutting-edge AI models into production, demonstrating a strong understanding of inference performance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global request routing, achieving low-latency load balancing across various data centers.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auto-scaling systems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resource allocation, ensuring stringent SLOs are met.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multi-tenant traffic shaping systems implementing smart rate limiting with technologies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gRPC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AI researchers to implement state-of-the-art model architectures, enabling faster deployment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Profiling and analyzing system-level performance to identify bottlenecks with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drive optimizations.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prefix caching strategies that drastically reduced model computation time,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NVIDIA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's GPU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distributed tracing across microservices to enhance monitoring and performance tuning.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open-source contributions allowing for refinement of inference tools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vLLM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SGLang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enhanced performance for users.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the integration of cutting-edge GPU clusters (H100s, H200s) into production workflows, fostering greater computational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architecture design for scalable API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supporting diverse client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rigorous testing frameworks ensuring high reliability of AI inference services with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cross-functional teams driving project ownership to deliver impactful results on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maintained scalable microservices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an API serving millions of requests daily.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infrastructure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enhanced fault tolerance and scalability during peak loads.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CI/CD processes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deployment cycles and reducing time to market.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frontend teams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a seamless user experience between APIs and UI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performance metrics and monitoring dashboards to track system health and performance trends.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backend services enhancing load balancing efficiency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HAProxy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Nginx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configurations for traffic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legacy codebases to improve efficiency, resulting in a 20% reduction in response time across the board.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 practices fostering a culture of high-quality deliverables in code integrity and style adherence.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regular architecture reviews to ensure alignment with industry standards and best practices for distributed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data access patterns and improve search capabilities across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company-wide coding standards and guidelines across the engineering team to improve code quality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key projects with expertise in software development lifecycle (SDLC) and agile methodologies to ensure timely delivery of user stories.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and development of educational software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engagement and learning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server uptime and reliability through proactive maintenance and monitoring of system performance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APIs leading to an increase in user satisfaction and engagement, measured by direct user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data processing operations benefiting from major performance enhancements resulting in a 15% increase in processing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Rust, Go, Python, TypeScript, Java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Deployment</w:t>
      </w:r>
      <w:r>
        <w:rPr>
          <w:rFonts w:asciiTheme="minorHAnsi" w:hAnsiTheme="minorHAnsi" w:cstheme="majorHAnsi"/>
          <w:lang w:val="en-US"/>
        </w:rPr>
        <w:t xml:space="preserve">: Kubernetes, Docker, AWS, Azure, GCP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AI and ML</w:t>
      </w:r>
      <w:r>
        <w:rPr>
          <w:rFonts w:asciiTheme="minorHAnsi" w:hAnsiTheme="minorHAnsi" w:cstheme="majorHAnsi"/>
          <w:lang w:val="en-US"/>
        </w:rPr>
        <w:t xml:space="preserve">: TensorFlow, PyTorch, ONNX, vLLM, NVIDIA Dynamo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Networking &amp; Performance</w:t>
      </w:r>
      <w:r>
        <w:rPr>
          <w:rFonts w:asciiTheme="minorHAnsi" w:hAnsiTheme="minorHAnsi" w:cstheme="majorHAnsi"/>
          <w:lang w:val="en-US"/>
        </w:rPr>
        <w:t xml:space="preserve">: InfiniBand, NVLink, MPI, gRPC, WebSocket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Optimization Tools</w:t>
      </w:r>
      <w:r>
        <w:rPr>
          <w:rFonts w:asciiTheme="minorHAnsi" w:hAnsiTheme="minorHAnsi" w:cstheme="majorHAnsi"/>
          <w:lang w:val="en-US"/>
        </w:rPr>
        <w:t xml:space="preserve">: Triton, CUDA, NCCL, Prometheus, Grafana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