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in data engineering and backend development. Proven expertise in designing and optimizing scalable data pipelines using Java, Kafka, DynamoDB, and NoSQL solutions. Excellent track record in implementing best practices for data governance and collaborating with cross-functional teams to deliver data-driven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scalable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data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retrieval systems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platform’s overall response times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quality assurance, proactively addressing compliance and security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data-driven solutions that supported various AI/ML initiatives and enhanced AI model training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engineers to elevate team capabilities and project delivery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real-time data streaming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support AI-powered features,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 sourcing.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Java applications, achieving substantial improvements in memory management and garbage collection.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data structures that streamlined integration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more effective data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architecture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ease of deployment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messaging solutions using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between distributed components and services, improving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backend systems with a focus on performance and reliability, using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share knowledge and introduce innovative solutions pertaining to backend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message-driven architectures, resulting in improved data 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services hosting within AWS ecosystems, employing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architecture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management and complex queries, ensuring optimal database performance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querying capabilities, which enhanced the client-side data retrieval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create efficient data models that fed into machine learning systems,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unstructured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meetings to leverage cloud solutions for scalable data infrastructures, focusing 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and analytics, drastically decreasing the time required to generate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frequently accessed data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sharing sessions regarding server optimization techniques, fostering a culture of learning and expertise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refactoring efforts to enhance scalability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t>
      </w:r>
      <w:r w:rsidRPr="00432203">
        <w:rPr>
          <w:rFonts w:asciiTheme="minorHAnsi" w:eastAsia="Times New Roman" w:hAnsiTheme="minorHAnsi" w:cs="Times New Roman"/>
          <w:b/>
          <w:bCs/>
          <w:lang w:val="en-US"/>
        </w:rPr>
        <w:t xml:space="preserve">design patterns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improved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applications to microservices-based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speed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to cleanse and enrich data, utilizing </w:t>
      </w:r>
      <w:r w:rsidRPr="00432203">
        <w:rPr>
          <w:rFonts w:asciiTheme="minorHAnsi" w:eastAsia="Times New Roman" w:hAnsiTheme="minorHAnsi" w:cs="Times New Roman"/>
          <w:b/>
          <w:bCs/>
          <w:lang w:val="en-US"/>
        </w:rPr>
        <w:t xml:space="preserve">Apache Beam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preparation before analysis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AWS services such as </w:t>
      </w:r>
      <w:r w:rsidRPr="00432203">
        <w:rPr>
          <w:rFonts w:asciiTheme="minorHAnsi" w:eastAsia="Times New Roman" w:hAnsiTheme="minorHAnsi" w:cs="Times New Roman"/>
          <w:b/>
          <w:bCs/>
          <w:lang w:val="en-US"/>
        </w:rPr>
        <w:t xml:space="preserve">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provisioning to streamline deployment processes. Aimed for improved agility and reduced setup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processes and architectural decisions, ensuring adherence to industry best practices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workflows that reduced operational costs by 15% in the last assessment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Snowflake, Clickhouse,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Stream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Flink, Storm, Spark Streaming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Terraform, Prometheus, Grafana,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