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solutions-driven Senior Engineer with over 9 years of experience in software development, specializing in Conversational AI, Natural Language Processing (NLP), and backend system architecture. Proven expertise in designing, building, and enhancing AI-powered solutions, robust leverager of programming languages and frameworks such as Python, RASA, and Deep Learning technologies. Expertise in collaborating across cross-functional teams to deliver high-quality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innovative conversational AI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RASA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Natural Language Understanding (NLU) and dialog management, resulting in improved customer interaction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RASA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chatbots into existing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AI solutions, optimizing NLP algorithms for better performance and accuracy in various conversational contexts.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augment chatbot functionality, enabling dynamic and context-aware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support data storage and retrieval for conversational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integration of AI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reliability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and stakeholders to define use cases and objectives for AI-powered applications,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insights from analytics to refine chatbot interactions and improve user engagement,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enhance software delivery processes and reduce deployment times while ensuring software quality through automated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structures tailored for conversational applications and optimized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troubleshoot and resolve operational issues promptly, ensuring minimum downtime and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particularly in building conversational AI products.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repetitive tasks and increase team productivity in software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that integrate with third-party APIs to enhance user experience in project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ensured adherence to best practices in the codebase while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coordinate tasks and project timelines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tests on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the scalability of AI solutions under varying user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integration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successful data exchanges between services for improved customer service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serverless computing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responsive and automated backend processes without server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projects to facilitate knowledge transfer and project handover, ensuring sustainability of codebases.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resources and modules for new employees, focusing on technologies and languages used in current software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applications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operation and reduced maintenance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hackathons to prototype innovative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present findings to stakeholders for potential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features on existing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improve user interface elements and user experience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technical assessments for prospective hires, evaluating their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RASA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against project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test coverage, achieving a defect reduction rate of 25% during the first month of 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R,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RASA, TensorFlow, Keras, Flask,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NLP, Deep Learning, Chatbots, Voice AI, Machine Learning Algorithms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SQLite,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