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building and maintaining enterprise-level applications. Proficient in a variety of Microsoft technologies including C#, .NET Core, ASP.NET Core, and Entity Framework. Proven track record in leading architectural decisions, enabling team growth through mentorship, and advocating for best engineering practices. Strong analytical and problem-solving skills with a focus on designing solutions that align with business goals and market dynamics.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an enterprise-level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in multi-tenant applications, simplifying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best practices by instituting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over 10 junior developers in backend and frontend technologies, fostering a collaborative environment for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execute the architectural roadmap, aligning technical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resulting in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API documentation and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communication, driving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audits and risk assessments that improved system reliability and security measures.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development of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to boost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 Server,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a comprehensive training program for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best practices, reducing release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RESTful APIs to facilitate mobile and web services integration, ensuring seamless communication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business requirements into technical specifications, enhancing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improvements in application code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code quality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workshops and tech talks, elevating the team's technical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redesign initiatives that utilized cloud technologies (AWS, Azure) for major application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international projects requiring coordination with global teams, balancing project timelines with quality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processes for monitoring performance and user engagement in applications to enhance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enterprise learning platform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user interfaces for better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front-end components, achieving responsive designs and superior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and availability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sysadmin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on Windows, Linux, and macOS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migration strategies for legacy systems, reducing operational risks associated with old tech.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for system design and architecture, supporting long-term technology planning and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preparing comprehensive documentation that included system diagrams, workflows, and user manuals.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Blazor, WPF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Visual Studio, JIRA, Azure DevOps,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NUnit, MSTest, XUnit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