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professional with over 9 years of experience in architecting and leading advanced deep learning systems. Proficient in designing innovative neural network architectures with a strong focus on data-driven scientific research. Demonstrated expertise in cross-functional collaboration, mentorship, and driving strategic initiatives that align machine learning projects with business goals. Extensive publication record and active engagement in the machine learning community, with a specific emphasis on applications in chemistry and biology for therapeutic discovery.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predict biological data phenomena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targeting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mass spectrometry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datasets, enhancing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architect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of bioinformatics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multidisciplinary teams to ensure alignment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product development goals, enhancing communication in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scientists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applied best practices in software engineering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biological 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for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refined algorithms for increase in prediction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algorithms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genetic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interpretability.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model validity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research publications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leading journals by translating complex findings into actionable insights within the scientific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workflow efficiencies in the data science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strategic research initiatives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molecular structure prediction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spectral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influencing long-term technical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strong publication presence, contributing to high-impact journals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NeurIPS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novel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data ingestion and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seamlessly integrating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data analysis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30% efficiency improvements in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propose feature enhancements,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validate hypotheses.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discussions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deployed user-centric features on the platform,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version control for coding best practices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championed a culture of excellence in code quality,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a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presented technical findings and strategies to stakeholders, contributing to strategic planning and decision-making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learning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training platform, optimizing course delivery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retrieval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 and efficient data access in learning applications,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ensuring course material quality through automated review processes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visibility into user progress across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data segmentation efforts using machine learning techniques to tailor learning experiences, leading to improved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adoption of modern development tools, fostering continuous improvement of both code and educational materials, achieving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platform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OpenCV,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HDF5, SQLite, PostgreSQL, MongoDB,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