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 and enterprise architecture, specializing in MLOps and AI/ML integration. Proven track record in designing and developing scalable machine learning platforms and infrastructure, integrating advanced data processing capabilities, and leading cross-functional teams to optimize operations. Proficient in the complete ML lifecycle, employing tools and frameworks like TensorFlow, PyTorch, Databricks, and Apache Spark to deliver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modernized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pipelines for data preparation and model deployment,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Data Scientists and Software Engineers to optimize machine learning processes and promoted models 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risk assessments for proposed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large datasets for training and inference, reducing manual effort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ongoing support and enhancements of the ML platform while integrating enhancements and new features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Extracted performance insights and established governance frameworks for model monitoring, ensuring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streamlining model transitioning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lifecycle of multiple models concurrently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GenAI solutions, enhancing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reliability of machine learning pipelines with minimal downtime through stringent monitoring and incident response procedures.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an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while at Asana, focusing on scalable solutions compatible with big data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advancing AI solutions, improving model accuracy and performance dramatically.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best practices for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 production environments, enhancing operational efficiency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Architecture Center of Excellence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draft architectural guidelines that inform MLOps best practices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cross-regional collaboration with teams across the US and Europe to refine existing models and implement enhancements that support strategic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existing data products to cloud infrastructure, optimizing the resource allocation and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ML workloads, reducing processing latency and improving throughput on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technology evaluations to incorporate cutting-edge ML tools and libraries, ensuring the technical stack remains competitive and effective.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 and conducted workshops on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building team capabilities and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validate model performances systematically before production push.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solutions at Skillsoft, focusing on core software development principles and optimizing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delivery of scalable training programs while leveraging a variety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backend technologies to ensure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revamp internal communication tools, promoting efficiency in workflows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for educational applications in diverse environments, ensuring compatibility and performance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Python, C,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Kubeflow, Airflow, DAGster,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H2O, Apache Kafka, SparkML, AWS EMR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RDS, AWS EC2, AWS S3, Google Cloud Platform,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Hugging Face, Mosaic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Jenkins,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