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 and developing scalable applications. Skilled in a variety of technologies including TypeScript, React, Next.js, and Deno, coupled with hands-on experience in modernizing legacy systems and implementing CI/CD pipelines. Proven ability to translate business requirements into effective technical solutions, ensure secure coding practices, and enhance system performance through meticulous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support increased user load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deployment, significantly reducing setup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third-party tools and APIs with internal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stakeholders to translate business requirements into technical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tuning, testing, and debugging of production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production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secure coding practices while ensuring adherence to industry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GLBA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and managing Infrastructure as Code (IaC) to efficiently provision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for deployment, enhancements, and hotfixes in production systems, ensuring company objectives were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enforced team coding standards to maintain high-quality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documentation, including data flow diagrams and process documents, to improve project transparency and facilitate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focusing on the latest technologies and methodologies to promote continuous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enhanced user experience and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for critical backend services to improve system interoperability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collaborated with developers to maintain coding standards and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infrastructure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and management of application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innovative solutions for performance issues,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processing speed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security audits confirming compliance with best practices in secure application design, particularly in finance-related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CI/CD practices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that educated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advantages in building server-rendered React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robust testing strategies to ensure application stability, including the use of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microservices-centric architectures, enabling improved scalability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structure and retrieval for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Fine-tuned application performance through testing methodologies and performance tuning efforts, resulting in improved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 engagement features for a corporate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employ automated testing frameworks, ensuring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new and existing features for a broad range of users across varying technical skill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 team environment, fostering open communication and rapid iteration on product features, resulting in delivery within tight schedules. Achieved 95% positive feedback from user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Deno, Node.js,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OAuth 2.0,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Bitbucket Pipelines, Prometheus, Grafana, Azure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Infrastructure as Code (IaC), Microservices Architecture, Secure Coding, SOC 2 Compliance, GLBA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