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innovative solutions focused on financial inclusion. Strong expertise in building enterprise-grade APIs and web applications, utilizing a modern tech stack that includes Node.js, React, TypeScript, Python, PostgreSQL, and AWS. Proven ability to collaborate effectively with cross-functional teams, improve software delivery processes, and mentor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high-impact features for enterprise-grade APIs, improving data integration efficiency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deliver seamless user experiences,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supplier integrations,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processes and ensuring robust functionality within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models to enhance scoring attributes, contributing to improved user insights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to uphold high-quality standards in software delivery.”,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],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                 :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,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: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],[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,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]},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                :                   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,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,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,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,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managing user data,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handling of large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real-time data visualizations that enhanced user engagement and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develop comprehensive testing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retrospective meetings and implemented feedback loops that improved team efficiency and software life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stand-up meetings, ensuring alignment with business goals and technical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around best practices in coding, testing, and system design, improving overall team competency.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Streaming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Kinesis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real-time analytics capabilities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microservices architecture to enhance scalability and performance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applications using various profiling tools, leading to improved response times and reduced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to address application issues, improving overall stability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that led to a 25% increase in system performance upon implementing new data handling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Node.js, React,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AWS RDS, MongoDB, MySQL,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Cloud/DevOps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Testing/Quality Assurance</w:t>
      </w:r>
      <w:r>
        <w:rPr>
          <w:rFonts w:asciiTheme="minorHAnsi" w:hAnsiTheme="minorHAnsi" w:cstheme="majorHAnsi"/>
          <w:lang w:val="en-US"/>
        </w:rPr>
        <w:t xml:space="preserve">: Jest, Mocha, Chai, JUnit,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