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building high-performance distributed systems. Proficient in implementing complex billing and revenue management solutions while ensuring top-notch code quality and extensible architecture. Strong expertise in technologies such as GraphQL, gRPC, and various open-source projects. Committed to collaboration, mentoring, and driving innovations in finance products and services in fast-paced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revenue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transaction processing speeds, improving overall performance of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vision and strategy for finance-related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components for client-server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open-source libraries for payment processing, achieving a more robust financial transaction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test coverage and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iterative development and continuous improvement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developers in advanced programming techniques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Dived deep into existing open-source projects to debug and resolve critical issues, showing versatility in understanding legacy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orchestration and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a faster go-to-market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 that supported features in finance products,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billing and revenue data at scale,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times for financial records,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logging and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of applications, resulting in streamlined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collaborating closely with product managers and stakeholders to prioritize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feedback loop with users to understand pain points in our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billing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product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regression issues before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services to improve insights for clients managing their digital asset portfolios.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feature-rich learning platforms with a focus on backend operations,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solutions for educational tools emphasizing extensibility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applications, fostering enhanced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stability and effective collaboration among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maintainability of the developed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microservices, providing greater scalability for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errors by 25% through the implementation of Continuous Integration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GraphQL,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Temporal, OpenAPI, Apache Kafka, Bash,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