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specializing in system design and implementation. Expertise in optimizing operational workflows, with a focus on Long Term Disability (LTD) and Social Security Disability Insurance (SSDI) claims processes. Proven ability to leverage cutting-edge technologies, including artificial intelligence and machine learning, to improve efficiency and user experience. A mission-driven professional dedicated to helping individuals access the benefits they’ve earned, with strong experience in building tools and systems for enhanced service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a unified intake system for SSDI claims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enhance data extraction and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workflows for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referrals, creating end-to-end processes that improved operational efficiency and reduced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for tracking key performance metrics across claims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service delivery and stakeholder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internal expert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LTD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SSDI eligibility criteria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while designing systems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claimant experiences through technical solutions that addressed gaps in the service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insights for optimizing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executing process improvements based on weekly performance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communication streams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LTD claim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carrier partners to ensure responsiveness and seamless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processes, improving user adoption rates and team efficiency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tasks, enabling enhanced decision-making capabilities among management regarding operational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external vendors and partners to develop and integrate with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LTD carrier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client relations and smoother claims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Launched automated reporting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into claims performance and operational bottlenecks.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optimization of the project workflow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customer-facing applications and automate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innovation in project management tools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satisfaction and higher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implemented feedback from clients to shape product features, ensuring robust alignment with end-user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microservices architecture for internal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integrating various APIs, which streamlined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technical processes which improved team collaboration and knowledge sharing, specifically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for better end-user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application infrastructure for improved reliability and performance, ensuring compliance with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reported on project KPIs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data-driven decisions and strategic adjustments.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Skillsoft, creating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course upload processes by implementing batch upload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operational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ensure seamless integration of technical requirements within course materials, fostering an enriching educational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user accounts and functionalities effectively, which improved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tools to track learner performance and course effectiveness,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over 50 staff members on new technologies and tools adopted during the integration phase, resulting in enhanced team competency and productivity in 2020.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Azure,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Talend, Apache Spark,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