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specifically in Java and Python programming. Proficient in delivering high-quality education and mentorship in programming languages, alongside expertise in various web technologies and frameworks. Adept at creating engaging and effective learning experiences, utilizing technical know-how to support diverse student needs and achieve learning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online coding lessons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targeting K-12 students' learning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course materials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curriculum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and efficient coding practices across all educational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assessment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gauge student understanding and performance in coding assignments.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virtual classroom settings with engaging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Classroom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personalized learning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interactive coding workshops,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student projects to build web applications, fostering hands-on coding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tailored feedback to students' coding assignments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and review APIs integrated into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positive learning environment by incorporating gamification strategies using interactive coding games and educational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course progress and student data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tracking of educational outcomes and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course development with other educators,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in classroom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quizzes and tests through online tools, streamlining student assessment processes and improving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one-on-one mentoring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Meet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students' specific challenges in programming and fostering confidence.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curriculum for software engineering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industry-standard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educational applications that enhanced remote learning capacities for students.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interdisciplinary teams to generate engaging instructional resources that reached over 500 students per semester.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deployment process of educational tools,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educational software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keeping course materials relevant and engaging for students.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coding labs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encouraging students to engage in real-world programming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in-depth coding tutorials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complex concepts for new learners.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unit tests, ensuring code quality and reliability in student projects during programming labs.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a community coding bootcamp,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student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educational technology conferences to share insights on teaching strategies using programming languages, enhancing professional visibility.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Java and Python coding workshops that resulted in improved student performance and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content for educational material preparation that included hands-on exercises and problem-solving sessions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sample databases to guide students through data management in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presentations on best coding practices and mentorship strategies at industry workshops, fostering professional community connections.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course evaluation system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student feedback, which led to significant curriculum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student participation and assessment outcomes, resulting in an X% increase in students successfully grasping core programming concepts.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Node.js, Bootstrap,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Docker, Jenkins, Selenium,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