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accomplished Senior Engineer with over 9 years of extensive experience in software engineering and data systems within the aerospace sector. Proven expertise in developing innovative solutions using cutting-edge technologies such as Python, AWS, React, Terraform, and more. Strong background in collaborating within diverse teams to solve challenging real-world problems, especially in climate-related projects. Committed to delivering reliable and efficient solutions that drive progress in environmental sustainability.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cloud services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managing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data visualization for emissions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database interactions within a robust data management system,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efficient deployment processes for microservices and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innovative algorithms for detecting methane emissions using remote sensing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speeds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quality assurance testing with automated tools ensuring code robustness and efficiency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geospatial data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accurate mapping and analysis of emissions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execution of comprehensive data transformation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to stakeholders through visual reports, leveraging data analysis tools to enhance decision-making processes regarding climate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and best practices that improved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cloud technologies and software best practices, fostering a collaborative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and maintained scalable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backend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analytics and reporting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sharing with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through query tuning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and trouble-shooting protocols for software applications, ensuring high availability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operational efficiency through the development of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routine deployment tasks and maintenance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drive swift development cycles, prioritize backlog, and define project scope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executing thorough testing protocols and user acceptance criteria to guarantee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team’s transition to cloud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coding practices and regular code reviews focusing on performance optimization.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e-learning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online training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development cycle for educational software, involving requirement settings and performance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back-end services that supported user-facing applications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logging mechanisms to monitor the performance and usage of various features, enhancing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communicated technical adjustments and improvements to the educational curriculum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technical processes and project milestones, improving operational transparency and team efficiency.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migration project completion, transitioning legacy systems to modern architectures, resulting in a 30% reduction in latency.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Bash,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SQLAlchemy, PostGIS, Apache Airflow,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AWS EC2, Data Factory, Ansible,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Artifactory, CircleCI, Infrastructure as Code,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Integration, Data Transformation, GIS Analysis, ESG Analysis, Data-centric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