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9 years of experience in designing, implementing, and maintaining scalable web applications. Proven expertise in full software development lifecycle and a strong proficiency in both front-end and back-end technologies, including React and Node.js. Adept at collaborating with cross-functional teams to translate business requirements into technical solutions, ensuring robust and accessible user experiences across various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modular and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user experience for clients resulting in greater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with payment systems and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legacy application to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ensure accessibility and performance across all devices,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peer mentorship sessions, fostering a culture of high-quality code standards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fetching for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to troubleshoot and resolve software defects, ensuring minimal disruption to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during development, aiding in deployment consistency and scalability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dashboards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valuable insights into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teamwork to define technical specifications, translating complex business requirements into effective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unit and integration testing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and executed new feature initiatives that were successfully integrated into the application, demonstrating a proactive approach in software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highly responsive interface that improved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lead the development of service-oriented architecture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functionality and improve user experience in applications,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solutions, ensuring delivery of quality code and user functionality through automated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agile project management skills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development tasks and progress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sprints to ensure project delivery timelines were met, promoting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easy tracking of changes and collaboration across multiple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Setup CI/CD pipelines for automated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the deployment rhythm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product features aimed at enhancing user engagement using trending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full-stack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front-end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logic, streamlining business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a focus on modularity and scalability,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 cycle with a focus on quality assurance methodologies and cooperative team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application performance and reliability through rigorous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the team maintain high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continuous learning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alternative data structures and algorithms that improved the performance of key application features by approximately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provide tech-driven solutions, enhancing customer satisfaction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peers’ code and provided constructive feedback focusing exclusively on backend frameworks and libraries, promoting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logging and monitoring tools for improved observability, significantly reducing mean-time-to-recovery (MTTR).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techniques ensuring cross-platform accessibility for mobile and desktop users. 500+ customer interactions were analyzed to inform design decisions.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JavaScript, HTML5, CSS3, Sass,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TypeScript, Golang, REST APIs, GraphQL, Microservices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SQL, NoSQL,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Docker, Kubernetes, AWS,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Webpack, Babel, Visual Studio Code,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