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Senior Full Stack Engineer with over 9 years of experience in developing scalable and reliable web applications using AWS services. Proficient in front-end and back-end development, with a strong focus on utilizing tools such as AWS Lambda, DynamoDB, C#, and JavaScript. Adept at collaborating with cross-functional teams to define and deploy features, ensuring high performance and security. Seeking to leverage extensive expertise in a role that demands innovation and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ensuring high availability and scalability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significantly reducing operational costs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Infrastructure as Code (IaC) for future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constructive feedback on code quality and adherence to established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secure coding practices, achieved compliance with data privacy standards, ensuring protection against vulnerabilities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unit and integration tests using industry-standard frameworks, improving application reliability and decreasing bug rates by enhancing the testing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interfaces with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optimizations for mobile responsiveness, enhancing user experiences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Sustained the end-state solution through ongoing AWS-based development while troubleshooting application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at Asana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RESTful APIs, streamlining connectivity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create serverless architectures that improved scalability and reduced server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responsiveness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libraries, improving load times and navigation experience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procedures, contributing to faster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95% test coverage for critical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visualization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QuickSight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web applications, allowing for dynamic reporting capabilities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effectively managing a multi-developer environment while overseeing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deployment processes and resource management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Agile methodologies, enhancing team collaboration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drive continuous improvement in development processes, adopting Agile practices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at Skillsoft focusing on the backend developing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driving the creation of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complex queries and optimize data transactions for improved application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develop and modernize legacy applications,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cloud technologies, showcasing the benefits and implementation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corporate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to streamline deployment processes, resulting in improved operational efficiency and reduced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efforts, analyzing application metrics and adjusting configurations to meet service-level agreements. Collaborated with stakeholders to ensure solutions align with business needs and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.NET, HTML, CSS,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React, Angular, Bootstrap, Vue.js, jQuery,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 Lambda, AWS S3, AWS DynamoDB, AWS RDS, AWS Glue, AWS CodePipeline, AWS CloudFormation, AWS CDK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Microsoft SQL Server, PostgreSQL, MongoDB, DynamoDB,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