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in developing innovative and accessible web applications. Expert in React, TypeScript, and modern web technologies with a strong focus on architecting reusable components and ensuring high-quality code. Proven ability to collaborate effectively with cross-functional teams to deliver impactful financial services and enhance user experience through intuitive design and robust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frontend applications and streamlining processes for seamless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 styling and ensuring compliance with accessibility standards (a11y).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 prototypes into functional application features and gathered user feedback for rapid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backend teams to develop comprehensive API contracts and debug issues, fostering a cohesive development 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documentation and standardized best practices for maintenance and onboarding of new developers, improving team efficiency by minimizing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high-quality code delivery and reduce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proposed enhancements that improved application scalability and responsiveness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development standards and mentor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progress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Agile methodologies to enhance team collaboration and deliverables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for efficient development, testing, and deployment processes, ensuring a consistent environment across all stages of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key performance optimizations which reduced load times and enhanced end-user satisfaction through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data visualization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impactful insights into financial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functionalities and streamlining interface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processes from legacy systems to modern frameworks which improved system reliability and user engagement by implementing a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envision and refine product specifications, ensuring alignment with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of code and architectures, aiding cross-team compatibility and increasing accessibility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optimization and module bundling, significantly improving development efficiencies and build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functionality through unit and integration testing cycles that enhanced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user testing and analysis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data-driven decisions for interface adjustments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stand-ups and sprint planning meetings with diverse teams to align goals and deliver rapid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 repositories and shared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creating responsive design prototypes that influenced team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processes, reducing latency for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components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interactive learning features in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reusable code libraries for internal tools, promoting consistency across multiple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collaborative sessions to foster a knowledge-sharing environment and enhance code quality based on feedback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solid components focusing on performance across different devices ensuring accessibility adherence, improving overall user satisfaction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project documentation which increased transparency for ongoing projects among stakeholders and teams and improved collaborative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software performance through rigorous testing and debugging practices, contributing to a more stable and reliable product that received positive client feedback, with a 30% decrease in reported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Tailwind, Redux, React Router,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Enzyme,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Agile,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