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over 9 years of expertise in crafting high-performance, scalable web applications. Proficient in Adobe Experience Manager and Edge Delivery Services, with a strong focus on architectural leadership, cross-functional collaboration, and performance optimization. Adept in modern front-end frameworks such as React and Angular, I excel at delivering exceptional user experiences while implementing best practices in accessibility and SEO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for front-end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Experience Manager (AEM)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 Delivery Services (EDS)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robust web applications that adhere to brand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scalable, modular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reusability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ensure high-fidelity design implementation,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(WCAG 2.1)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by implementing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caching,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Google’s 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 high-performance engineering culture, mentoring junior developers on best practices and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Target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personalized experiences,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layouts ensuring cross-browser compatibility and performance consistency for various devices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speeding up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establishing CI/CD pipelines for efficient deployment of front-end codebases,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repository of front-end components,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package management and distribution, fostering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front-end technologies and Adobe solutions to inform architectural decisions and technical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front-end architecture and performance metrics for stakeholder presentations.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for enterprise-level application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consistency in architectural principles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maintainability and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engineers and designers to execute features, ensuring alignment with project timelines and UX/UI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performance analysis,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areas for improvement, elevating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cross-platform compatibility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to various screen sizes with CSS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integration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data handling and rendering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performance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them towards industry standards and contemporary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stakeholders, translating business requirements into technical specifications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training on Adobe products and development paradigms, fostering a culture of continuous improvement across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audits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web applications for speed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that improved operational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processes and enhanced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projects with Agile methodologies, ensuring rapid delivery while adhering 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robustness and reliability in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improving performance and user interaction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among developers,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designing user interfaces that meet customer needs while conforming to regulatory standards, enhancing accessibility across various platforms. The initiatives resulted in a 20% reduction in user complaints.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Experience Manager (AEM), Adobe Edge Delivery Services (EDS), Adobe Analytics, Adobe Target,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Lighthouse, Core Web Vitals,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Git, NPM,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