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Science Manager with over 9 years of experience in leading high-performing data science teams and developing innovative AI-based solutions for the healthcare sector. Proven expertise in building and deploying machine learning algorithms, enhancing clinical documentation integrity, and driving cross-functional collaboration to achieve measurable business outcomes. Skilled in Python, SQL, and cloud platforms with a deep understanding of the machine learning lifecycle from ideation to production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 comprehensive data science strategy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prioritize core modeling components across multiple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Led, mentored, and successfully grew a team of 8 data scientists, imparting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competitive business objectives into actionable data science roadmaps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removed blockers in the workflow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team productivity for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Recruited top-tier data science talent using targeted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LinkedIn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sourcing strategies, building a collaborative environment of continuous learning and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architectural decisions for robust modeling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deployment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science best practices and methodologies, accelerating the deployment of AI solutions in clinical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ML models into product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pipeline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metrics and KPIs to measure team performance,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of model impact on business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clinical documentation integrity by developing ML models that flagged missing diagnoses, effectively increasing compliance and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by setting up regular syncs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stakeholders were aligned on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data scientists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mentoring junior team members in the deployment of machine learning solutions and data-driven insights for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analytics dashboards that visualized user engagement metrics, enabling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operational workflows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to optimize resource allocation and project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identify key performance indicators and deliver actionable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 cleaning and pre-processing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before model training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A/B testing experiments to evaluate feature changes and assess model performance against established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moving models into production environments for real-time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knowledge sharing within the team, organizing bi-weekly workshops on emerging technologies in data science and AI.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strategic initiatives involving cross-department collaboration, which resulted in improved customer satisfaction metrics linked to product 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hackathons and innovation sprints, fostering a creative environment that led to new tool developments such as automated reporting systems for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analytics and machine learning principles relevant to workplace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modeling and data visualization to improve learning outcomes and track participant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data analysis initiatives that guided course development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technical training resources, ensuring that they were aligned with current industry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accessibility and monitoring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helping achieve a 15% increase in course completion rates through targeted analytics and user feedback analysis.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scikit-learn, TensorFlow,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Hadoop,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Confluence,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