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Data Engineer with over 9 years of experience in designing and implementing data extraction pipelines, particularly with legacy systems like AS400. Deep expertise in ETL processes, SQL, and data visualization tools, aimed at delivering data-driven solutions for business intelligence. Proven track record of collaborating with cross-functional teams to ensure data integrity and consistency for critical business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designing and building an interim data extraction pipeline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legacy AS400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ensure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monthly “book of record” system for accurate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inventory valuation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methods to lock monthly labor and material inputs for enhanced data consistency and readiness for audits.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NiFi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transform and load structured data into analytics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finance and operations stakeholders to deliver tailored data solutions without bureaucratic limitations.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existing reports and implemented new reporting systems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visualization of key business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efforts of multiple data 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transformation processes, improving data processing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data extraction and transformation processes, facilitating knowledge sharing among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procedures to ensure the integrity of data transfers within ERP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 in best practices for data engineering,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SQL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 environment, participating in sprint planning and daily stand-ups to ensure project alignment.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for data migration projects, ensuring successful data integration from disparate sources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AS400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query optimization, resulting in improved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automated reporting cycles to decrease turnaround time for monthly financial reports.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schema migrations and performance tuning to enhance the responsiveness of enterprise-level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science teams to design data architectures that support real-time data analysis and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perform complex data joins and transformations for business intelligence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Docker containers for consistent environment setups and improved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compliance and regulatory data audits, ensuring adherence to industry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team capabilities by organizing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data handling and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Tracked data quality metrics, proposing and implementing improvements where inconsistencies were identified.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maintained data pipelines for large datasets, ensuring data accuracy and availability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reporting tools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business decision-making processes and enhance data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analyze business requirements, translating them into technical specifications for data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retrieval times for frequently accessed data 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compliance with data governance policies, ensuring data security and integrity across all processed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testing initiatives to ensure new features and integrations met performance and reliability standards, achieving an 85% satisfaction rate from stakeholder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Shell Scripting, R,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Oracle, DB2, Tableau,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Airflow, Apache Spark, Hadoop, Talend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