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Architect with over 15 years of experience in designing and implementing enterprise-scale data solutions. Expertise in building secure, scalable, and high-performing data architectures that support analytics, business intelligence, and operational efficiency. Proven track record in navigating complex data environments and leading cross-functional teams to leverage data for strategic decision-making, compliance, and quality assurance. Passionate about the transformative power of data in reshaping financial services through Bitcoin.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architectures maximizing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data processing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dimensional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techniques, enhancing the analytical capabilities of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and application development teams to optimize data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overall system performance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appropriate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storage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insights into new technologies to ensure data security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policies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secure sensitive information within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master data management frameworks to support data integrity and lifecycle management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replication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ensuring high availability and disaster recovery capabilities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conducting architecture review sessions and championing innovative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data engineers, enhancing their capabilities in data modeling and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data solutions to non-technical stakeholders to facilitate understanding and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real-time analytics solutions, driving data-driven decision-making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data processing capabilities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SQL queries and optimized existing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for analytical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integration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providing a more agile data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enforced data quality metrics and monitoring processes, ensuring the integrity and reliability of vast data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compliance teams to design and implement data access controls protecting sensitive customer information as per regulatory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the effectiveness of datasets and derived actionable insights to enhance business intelligence initiatives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QlikSense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built, and deployed machine learning pipelines to support predictive analytics models, contributing to improved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technical community discussions regarding data observability and best practices in data governance.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application,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cross-functional data solutions simplifying data accessibility and usage for eighty percent of teams involved.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development and execution of operational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storage solutions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and processing, enhancing the system’s processing capabilities under high-load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data observability tools to assess and optimize data flows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operational costs by fifty percent while increasing the efficiency of the data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the architecture and implementation of a centralized data repository that improved data retrieval times by thirty-five percent.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Oracle,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Metrics, GDPR Compliance, Data Access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Apache NiFi, QlikSense, Tableau,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