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diversified experience in enterprise architecture, integration, and business intelligence. Proven track record in technical management, leading teams to deliver innovative, scalable solutions aligned with enterprise goals. Skilled in developing strategies and managing complex technology environments, including deep expertise with Oracle Fusion, AWS, .NET Core, Mulesoft, and microservices. Passionate about driving efficiency and implementing best practices that support organizational advancement and deliver measurable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architecture frameworks using </w:t>
      </w:r>
      <w:r w:rsidRPr="00432203">
        <w:rPr>
          <w:rFonts w:asciiTheme="minorHAnsi" w:hAnsiTheme="minorHAnsi" w:cstheme="majorHAnsi"/>
          <w:b/>
          <w:bCs/>
          <w:lang w:val="en-US"/>
        </w:rPr>
        <w:t xml:space="preserve">Oracle 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financial and supply chain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enhancing operational effectiveness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governance to establish standards for security and compliance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architecture review processes, ensuring alignment with enterprise strategic objectives and </w:t>
      </w:r>
      <w:r w:rsidRPr="00432203">
        <w:rPr>
          <w:rFonts w:asciiTheme="minorHAnsi" w:hAnsiTheme="minorHAnsi" w:cstheme="majorHAnsi"/>
          <w:b/>
          <w:bCs/>
          <w:lang w:val="en-US"/>
        </w:rPr>
        <w:t xml:space="preserve">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reliability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decision-making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teams through the adoption of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architecture discussions to promote application of standards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departmental standards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requirements gathering and architectural alignment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vendor management for key technology partnerships, influencing cost-effectiveness and service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full-stack solutions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service-oriented architectures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architecture reviews and proposed improvements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real-time 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teams in Agile methodologies,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complex integration projects using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connectivity across enterprise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with scripts and templates.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performance metrics for production systems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performance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principles of </w:t>
      </w:r>
      <w:r w:rsidRPr="00432203">
        <w:rPr>
          <w:rFonts w:asciiTheme="minorHAnsi" w:eastAsia="Times New Roman" w:hAnsiTheme="minorHAnsi" w:cs="Times New Roman"/>
          <w:b/>
          <w:bCs/>
          <w:lang w:val="en-US"/>
        </w:rPr>
        <w:t xml:space="preserve">Object-Oriented Programming (OOP)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 to standardize coding practices across teams, improving overall code quality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scalable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stack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streamlined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solutions leveraging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client-side processing and effective data presentations.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cloud environments, particularly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planning and execution, ensuring alignment with KPIs and strategic initiatives, resulting in improved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deployment of learning management systems that served over 10,000 users, achieving a high satisfaction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SQL,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Spring Boot, React, Express.js, MuleSoft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Fusion, SQL Server, AWS Redshift, Data Lakes,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Kafka, Confluent,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Salesforce, Ansible,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