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developing and delivering advanced AI-driven solutions. Proven expertise in leveraging AI technologies for business outcomes, coupled with a robust background in infrastructure, software platforms, and presales solution architecture. Adept at collaborating with cross-functional teams to align client needs with business strategies, ensuring optimal solution delivery. Strong knowledge in utilizing a wide range of technologies, including AI frameworks and cloud platforms, to create scalable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AI-driven application development for high-impact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business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presales solution architecture following RFP/RFI best practices while using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AI Workbench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AI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deliver high-level presentations showcasing the value of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collaborative internal communication channels to support cross-functional teams on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emerging AI trends and tools to inform strategic planning and client engagement, maintaining a focus on practical applications across business functions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risk assessments for proposed solutions ensuring compliance with operational standards and security protocols,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in messaging and delivery strategies through the utilization of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teams in AI best practices focusing on the integration of machine learning models with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proof-of-concept (PoC) environments that demonstrate the capabilities of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Quantum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data insights into decision-making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 client needs into tailored AI solutions by architecting reference architectures that align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Unisys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the adoption of AI frameworks and tools, leading internal workshops on the practical application of AI-driven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AI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development and sales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delivering client-focused AI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impactful AI training sessions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demonstrating data-driven storytelling.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management within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technical response to RFPs supporting strategic enterprise clients, utilizing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solid solution blueprints.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application performance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 and API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solutions by bridging frontend functionality with backend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cutting-edge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technical documentation that articulates system architecture and design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competitive analysis focused on the capabilities of peer organizations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translated complex technical jargon for non-technical stakeholders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microservices solutions enhancing backend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product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meetings using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WebEx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gathering requirements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dataset trends for strategic decision making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integration efforts for legacy systems to migrate to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30% performance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and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Jupyter Notebooks, Apache Spark,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