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specialized in architecting and deploying AI solutions. Proven track record in leading cross-functional teams to design technical frameworks that align with business objectives. Extensive hands-on expertise in leveraging advanced technologies including Python, TensorFlow, and AWS to deliver transformative AI-driven projects. Adept at collaborating with business stakeholders to identify needs and incorporating innovative AI techniques to enhance operational efficiency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that enhanced product recommendation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development and deployment of agent-based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end-user satisfaction and reduced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and robust data pipelines for processing unstructured data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ethical data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deep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 which improved text classification accuracy by incorporating contextual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performance monitoring of deployed AI models, utilizing telemetry and real-user feedback to refine solution behaviors and enhance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and data team members to design AI architectures including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proprietary models ensuring robust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orchestration of AI solution deployments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AI architecture, focusing on reinforcement learning techniques and ethical AI design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prototypes of AI-driven solutions that boosted client engagement during the design validation phase.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memory layers and retrieval-augmented generation for adaptive AI systems to improve user-specific interaction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environments to enhance development workflow among diverse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compelling presentations on AI projects to stakeholders clearly outlining technical methodologies and business impact, fostering innovation and stakeholder buy-in.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AI solutions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Machine Learning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strategic business outcomes through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collaborative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back-end integration, improving process efficiency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business leaders to translate business requirements into actionable AI strategies, using empathy and technical insight to bridge gaps.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deploying machine learning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processes that increased operational productivity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integration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datasets, enhancing data accessibility for analytical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containerized environments for testing AI solutions, ensuring minimal downtime and consistent performance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client datasets improving sentiment analysis capabilities for major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adapt solutions based on user testing and feedback, increasing user adoption rates of deployed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third-party AI libraries, ensuring enhanced functionality in alignment with the latest technological advancements.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an internal AI project portfolio, leading to a 30% increase in project initiation through clear demonstration of value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training time for machine learning models by optimizing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in transitioning to AI-ready infrastructure, applying cloud integration best practices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cloud service utilization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efforts by conducting rigorous testing of AI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product backlog grooming sessions with stakeholders ensuring alignment with business transformation goals through AI,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OpenAI,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SQL, NoSQL,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