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Architect with over 9 years of experience in architecting and deploying complex, cloud-based AI solutions. Proven expertise in designing architectures for Generative Text, Q&amp;A Chatbots, and Computer Vision using advanced AI technologies, machine learning algorithms, and cloud infrastructures. Demonstrated ability to lead cross-functional teams to deliver scalable and secure AI solutions while ensuring alignment with best practices and organizational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AI architectures that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Q&amp;A Chatbots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develop scalable and secure AI solutions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formal architecture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TOGAF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reference architectures, data models, and use cases for various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protocols and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cross-disciplinary teams to assess and select appropriate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platforms to optimize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of machine learning models and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flow in AI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AI architectural designs to stakeholders, ensuring alignment with Raytheon's strategic objectives and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testing frameworks and methodologies for validating AI solutions, ensuring high-quality deliverables in accordance with organizational standards and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service-oriented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and scalability of AI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innovation and improving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cross-functional teams, improving team competency in AI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AI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critical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 solutions, resulting in improved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and architectures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transformers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diffusion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state-of-the-art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customer interactions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for AI applications to ensure operational efficiency and quick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 deployment pipelines, improving application management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streamline deployment of AI services, enhancing the ability to respond to changing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AI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throughput and processing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compliance and governance teams to ensure all AI solutions adhered to best practices and confidentiality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across different layers of AI applications using robust frameworks, which ensured high-quality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maintained robust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AI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lifecycle management of algorithms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rapid deployment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enabling efficient interactions between AI components and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ML algorithms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tailored to specific project requirements, resulting in enhanced predictive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architectures, methods, and processes to facilitate knowledge sharing and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Transformers, Diffusers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and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SQL Server,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