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cloud-native systems, Kubernetes, and distributed architectures. Proven expertise in building scalable infrastructures and ensuring robust cloud security. Focused on driving impactful engineering initiatives and mentoring teams towards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high-impact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infrastructure to scale enterprise-level applications and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technical vision for critical components, enhancing system performance and reliability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least privilege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cross-organizational initiatives to streamline engineering processes, resolving architectural challenges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strong coding practices and clean design standards throughout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reviews, ensuring alignment with architectural goals and standards for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solutions for orchestration and data flow optimization, enabling seamless integration of various data formats.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go-to-market teams to deliver aligned technical roadmaps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production-ready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capabilities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deployment processes and infrastructure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Enhancing observability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 and health.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high-performance cloud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security protocols aligning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 fundamentals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distributed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with an emphasis on performance,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data engineering teams to deliver optimizations in data processing and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standards of quality and performance in the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integration capabilities aligning with enterprise-level customers’ requirements and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extensively for building resilient solutions towards SaaS infrastructures.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functionalities for large-scale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optimal performance of applications through continuous testing and monitoring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facilitate communication between various application components and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provided technical insights for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systems, addressing critical issues to reduce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within timelines, contributing significantly to multiple projects ensuring execution against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Go, JavaScript, TypeScript, SQL, Bash,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Kubernetes, Docker, Terraform, CI/CD, IaC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IAM, Least Privilege, Data Protection, Secrets Management, Cloud Security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Node.js, React, Spring Boot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Load Testing, JMeter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