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specializing in backend system development, cloud-native architecture, and scalable microservices. Proven expertise in leveraging Python, Elasticsearch, and AWS to design and build high-performance applications. Adept at collaborating within Agile teams to deliver quality software solutions that enhance patient health outcomes. Passionate about technical mentorship and continuous improvement in software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and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with a focus on performance, following modern software design principles and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search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drive the implementation of reusable microservices adhering to Agile methodologies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providing technical feedback and fostering improvement on code quality by integrating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Product, DevOps, and Security to streamline the software delivery process, focusing on innovative and efficient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knowledge sharing and technical skills growth through pair programming and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improving deployment efficiency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service dependencies and deployment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using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uptime and application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planning and retrospectives that shaped team processes and enhanced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user-driven development, where customer feedback directly influenced software iterations and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focused on backend services which improved operational efficiency and integrated seamlessly with existing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cloud-native architectures with a comprehensive understanding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scalability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relational databases,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queries, and implemented data management solutions across multiple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APIs as part of digital healthcare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HIPAA compliance and data security measures in place.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reviews and contributed to decision making for database technologies optimally suited for application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and CI/CD pipelines to ensure consistent deployment processes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solutions in specific high-load scenarios, balancing read and write operations effectively.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mentoring junior engineers, helping improve coding standards and fostering a culture of collaborative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server-side logic and API connectivity with emphasis on RESTful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end-to-end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and reliability of software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patterns and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to translate business requirements into technical specifications, driving deliverables forward with efficient team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security protocols in applications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HMAC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 and data protection across all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 an application impacting over 3 million users, revised service architecture which resulted in a 40% reduction in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Elasticsearch,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Amazon ECS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SQL, NoSQL,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Security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New Relic, Sentry, OAuth2, JWT, HMAC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