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specializing in React, TypeScript, Node.js, GraphQL, and AWS. Proven record in modernizing legacy systems and building scalable applications while ensuring high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modern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early childhood education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APIs and serverless functions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architecture and shared services, improving development processes and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legacy systems to modern platforms utilizing the strangler-fig pattern, ensuring minimal disruption.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in applications, significantly reducing frontend load times and optimizing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enhancing deployment and testing automation, improving overall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offshore development teams to maintain high-quality code standards and timely feature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and supported existing legacy systems effectively during the transition, contributing to operational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AI-powered features for guided workflows and smart recommendations, aligning with the project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learning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integrating observability tools, reducing incident response times and enhancing user satisfaction.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core features and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introduced automated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 efforts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exchange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proposing enhancements for scalability and performance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SQL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interactions for better application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ensure seamless deployments and troubleshoot issues during production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accelerating feature deployment and reducing the occurrence of production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applications written in </w:t>
      </w:r>
      <w:r w:rsidRPr="00432203">
        <w:rPr>
          <w:rFonts w:asciiTheme="minorHAnsi" w:eastAsia="Times New Roman" w:hAnsiTheme="minorHAnsi" w:cs="Times New Roman"/>
          <w:b/>
          <w:bCs/>
          <w:lang w:val="en-US"/>
        </w:rPr>
        <w:t xml:space="preserve">ColdFusion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debugging and performance tuning during transition periods.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improvement and feature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applications, ensuring high uptime and reliability while introducing minor updates and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management tasks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access and queries for better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code maintenance, emphasizing clean and maintainable code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cloud environments, setting up early-stage AWS services for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a project with a focus on migration strategies, reducing migration time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GraphQL,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Lambda, API Gateway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Docker,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