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leading complex software development and architecture initiatives. Expertise in designing and implementing enterprise legal technology solutions, leveraging advanced programming languages and cloud technologies. Proven ability to drive technical direction, improve system efficiency, and mentor junior engineers in fast-paced environments. Strong problem-solving and analytical skills with a focus on compliance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roadmap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Legal Technology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organization, aligning with stakeholders to ensure the successful deployment of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legal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responsiveness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full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requirements gathering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architecture reviews for core technologies maintaining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mission-critical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security best practices and compliance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growth while establishing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Legal Department to optimize production systems while ensuring robust technical direction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Legal Technology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vendor relationships, influencing key technology integrations and fostering collaboration across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efficiency through strategic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open-source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experiments to evaluate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analysis of new tools and frameworks, delivering comprehensive technology recommendations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superior system performance through proactive testing and deployment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legal technology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aligned with modern security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projects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system automation to facilitate better legal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significantly enhanced system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legal experts to define system requirements, ensuring alignment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industry-specific compliance needs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and integration of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open-source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geared toward enhancing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eDiscovery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aimed at improving team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lifecycle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optimizing deployments to reduce downtime and improve operational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identified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improving user experience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database management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retrieval and compliance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throughout the development process, ensuring effective collaboration among developing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projects with engineering teams to transition research findings into production-ready systems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Fortify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to strengthen code security and adherence to compliance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improved product design and user flows, contributing to a project that increased efficiency in document and matter management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Spark,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CloudFormation,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OWASP, Fortify,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