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delivering scalable solutions using Python, PostgreSQL, GraphQL, and FastAPI. Deep expertise in architectural patterns and async programming, driving performance and maintainability in high-volume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AI-driven document processing in a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-first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optimal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and product leadership to drive architectural decisions and improve backend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modern type hinting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enhancing maintainability and correctness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design discussions,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JSONB and arrays for efficient data handling and multi-tenant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clean architecture practices to ensure modular and testable code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integration and delivery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AI-assisted coding tools to enhance development workflows and streamline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strict code quality standards through automated testing and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patterns that improved modularization and overall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high-availability applications, enhancing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design patterns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production, significantly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while integrating background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Alembic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boosting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Pydantic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validation to enhance API robustness and error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enhance CRM systems and workflows, adopting a collaborative engineering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CI/CD processes, integrating automation into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feature sets for client-facing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databases, writing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while maintaining functionality across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adherence to coding standards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to ensure high-quality deliverables, improving reliability of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to enhance existing applications, increasing performance by 20% through refactoring and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GraphQL, Pydantic, SQLAlchemy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SOLID, Repository Pattern, Dependency Injection, Service Layer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Datadog, Alembic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