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Solution Architect with over 11 years of progressive experience in software development and system architecture, deeply versed in the cards and payments domain. Expertise in designing scalable, reliable, and secure payment solutions while adhering to industry standards and best practices. Proven track record in collaborating with cross-functional teams, guiding technical implementations, and ensuring compliance with regulatory frameworks. Proficient in cloud technologies, API design, and advanced system integration, committed to delivering innovative solutions that drive business success and enhance customer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payment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system resilience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facilitate seamless integration with third-party payment processors.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the architectural evolution of payments architecture applying design patterns such as microservices and serverless architectures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PCI DSS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leading to improved security protocols and risk management practices across various payment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system scalability in multiple payment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protection measures in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GDPR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CCPA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throughout the payment transaction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designing distributed systems and integration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Liaised with product management to translate complex business requirements into technical architecture aligning with enterprise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advanced fraud detection mechanisms into payment solutions, leveraging machine learning techniques for improved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innovative payment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blockchain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ledger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to enhance functionality and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complex architectural strategies to non-technical stakeholders, fostering a collaborative environment for project advancements.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cloud-native payment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performance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detailed architectural designs and technical documentation, including data models and API specifications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Archimate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meet compliance requirements established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PS2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regulatory bodies.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scalable, resilient payment systems, integrating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NFC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EMV</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experience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integration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event-driven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migration of legacy payment systems to modern, cloud-based infrastructures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analytics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payment system performance and identifying fraud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 CI/CD pipelines to enhance deployment and monitoring strategies for payment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a new payment processing platform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high-performance backend systems for payment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robust data handling practices by deploying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store and retrieve transactional data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quality and reliability, achieving over 95%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user engagement metrics by introducing innovative payment options that increased transaction volumes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Express, Flask, GraphQL,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 OpenShift,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 Elasticsearch,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Payment Systems &amp; Compliance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PCI DSS, GDPR, AML, KYC, Tokenization, EMV, NFC, Fraud Detection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