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Cloud Solutions Architect with over 11 years of experience in designing and implementing cloud-native solutions across Public, Private, and Hybrid Cloud environments. Proven expertise in defining technical architectures that leverage commercial cloud service providers including AWS, Microsoft Azure, and Google Cloud Platform to support seamless data migrations and system transitions. Holds a Master’s in Computer Science and possesses strong knowledge in modern software development methodologies such as Agile and DevSecOps. Recognized for fostering collaborative team environments that enable innovative problem-solving and reliable, cost-effective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multi-cloud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migrations for high-profile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architects in defining technical strategies for complex cloud transformation projects, ensuring alignment with DoD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and configuration management that adhered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of business requirements to architect scalable, highly available cloud systems with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cost control measures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between on-premises networks and cloud services, leveraging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Direct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project teams in adopting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development lifecycles and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of cloud solutions to ensure reliability and adherence to architectural concepts including fault tolerance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lift-and-shift migration strategies that ensured minimal disruption during transitions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migration including ingress and egress planning to optimize cloud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final architecture and implementations, ensuring alignment with business strategy and security requirements for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architects and developers, providing guidance on cloud best practices and project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numerous applications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strategies of cloud-based applications, ensuring rapid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define system requirements, architecting solutions that effectively utilized cloud resources for maximum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cost analysis initiatives that resulted in reduced operational costs while maintaining system performance across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programming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crafting custom automation scripts supporting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cloud-first security frameworks ensuring compliance with industry standards and best practices, improving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stakeholders to gather requirements and translate them into effective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enterprise-level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teams, strengthening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architect cloud transitions,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 and operational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and support for developers in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management techniques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cloud architecture design by incorporating feedback from testing phases to mitigate risk factors.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deployment times by 30% through the implementation of automated CI/CD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Office 365, Multi-Cloud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Kubernetes, Docker,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DevSecOps,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