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diverse experience in developing robust applications and leading engineering projects. Proficient in leveraging a wide array of technologies including Java, Spring Boot, Microservices, and RESTful APIs to build scalable systems. Experienced in adopting best practices in Agile methodology and implementing CI/CD pipelines for continuous delivery and integration. Strong advocate for testing and quality assurance, utilizing tools like JUnit, Mockito, and Selenium to ensure high-quality deliverables.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ensuring seamless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resulting in improved system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adhering to best practices, enabling efficient communication between services and enhancing system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resilience and performance by developing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deploying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clusters, optimizing resource utilization.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reducing deployment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unit, integration, and end-to-end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reliability of software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sprints to deliver features aligned with business goals, resulting in improved project turnaround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monitoring tools and logging utilities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proactive performance monitoring and troubleshooting of production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reviews, adhering to coding standards and best practices to maintain code quality and mentor junior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microservice architectures that improved modularity and reuse of code across different applications, enhancing development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optimal user experience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and technology selection to align with the organization’s strategic vision.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developing an enterprise-level solution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modular design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and efficient data access layers connecting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streamlining database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Researched and implemented best practices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deployment and management, improving team cloud competencies and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functional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comprehensive coverage of application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continuous integration and deployment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build times and improving deployment frequency.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Agile ceremonies, facilitating communication among product owners, developers, and stakeholders to ensure alignment on project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debugging sessions and root cause analysis of high-severity incidents, contributing to reduced downtime and improved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Java application performance through profiling and implementing effective caching mechanisms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full-stack development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dynamic user interfaces for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establishing a robust testing culture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architectural discussions to ensure high standards of development practices were maintained and improved.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evaluations and tuning of server applications, leading to a 25% increase in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