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encompassing robust skills in Java, Spring Boot, React, and Microservices architecture. Proven track record in building scalable and high-performance applications. Adept at leveraging CI/CD tools such as Jenkins and Docker for efficient delivery pipelines, alongside extensive experience in Agile methodologies and Test-Driven Development (TDD). Demonstrates strong analytical skills in problem-solving and optimizing software solutions for various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high-throughput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application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collaboration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overall defect rates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performance and refactoring legacy products for modern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deliver software solutions in line with business needs, focusing on maintainability and user input.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and enhance operational efficiency within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promoting high test coverage that ensured robust and bug-free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offering extensive guidance on best practices in software development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and architectural designs to stakeholders, ensuring alignment with business objectives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interfaces and overall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increasing data accessibility across the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for high user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interventions and continuity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application troubleshooting, leading to a 30% improvement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documentation to ensure best practices were followed throughout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formulate responsive designs that enhanced user accessibility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and fixes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internal applications, optimizing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sprint planning and review meetings, aligning technical work with business priorities.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systems, improving operational capabilities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which improved the testing coverage and automated regression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contributing to iterative development and flexible project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logging and monitoring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AngularJS,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