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UI Engineer with over 11 years of experience in building responsive and user-centric applications. Proficient in using the latest technologies including React, Angular, and TypeScript. Demonstrated success in leading projects that leverage Calcite Design System for web applications, ensuring high performance and seamless user experiences. Strong expertise in JavaScript, HTML5, and CSS3, along with a robust background in testing methodologies such as Jest and Cypress. Passionate about developing innovative UI solutions that enhance usability and appeal, and dedicated to continuous improvement in design and usability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UI components and libraries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Calcite Design System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for a more cohesive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modular bundling and optimized loading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modules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working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to improve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functionality and reliability before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translate wireframes into responsive web applications,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animations and transitions for enhanced UI effects.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ensuring that all components interact seamlessly during user interactions and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daily stand-ups, sprint planning, and retrospectives to deliver improved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existing codebases while adhering to best practices in coding standards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new technologies, fostering an environment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shared component library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consistency across applications and reducing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developers and designers to improve the onboarding process and maintain account of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front-end development efforts in creating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workloads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API contracts and optimize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quick data fetching.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with improved responsiveness on all devices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positive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libraries for UI components to ensure code reusability and efficient team collaboration, aligned with the design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reducing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guided team members on contemporary UI/UX trends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developers to implement microservices architecture and improve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20% reduction in load times by optimizing code and implementing lazy loading for non-critical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smoother interactions and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legacy systems with modern front-end capabilities without full rewrites, ensuring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UX/UI designers to refine platform aesthetics and usability, ensuring responsiveness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grid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A/B testing methodologies to gauge user interaction, leading to improved engagement rates on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accessibility for all applications in compliance with WCAG standards, promoting inclusive design principles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code coverage for core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minimizing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Calcite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Jest, Cypress, RxJS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Calcite Design System, Material Design, Ant Design,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