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and full-stack development. Proficient in Java, Spring Boot, Microservices, and AWS. Versatile in driving architecture decisions and improving system performance with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resilient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successfully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security and performance improvements,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driving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ensuring compliance with security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test-driven development (TDD)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functionalities within existing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delivered architecture recommendations, overseeing implementation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and optimized resource usage, leading to cost savings.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by implementing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closely with Product Owners to enhance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ensured system security compliance using token-based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promoted collaborative programming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critical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migrations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improving response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emphasizing code quality and adherence to project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