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and frontend development leveraging a diverse technology stack. Proven expertise in designing, implementing, and optimizing high-performance applications using Java, Spring, React, and AWS. Demonstrated ability to lead complex projects and mentor junior developers, while maintaining a focus on code quality and testing methodologies such as JUnit and Mockito. Highly skilled in version control and CI/CD practices utilizing Git and Jenkins. Committed to delivering innovative solutions and fostering a collaborative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modularity and scalability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RESTful APIs, ensuring optimal communication between frontend and backend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reliability and decreased the number of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times by restructuring queries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contributing to sprint planning and retrospective meetings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accessibility on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software architecture and design patterns used in project development, ensuring knowledge retention and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efforts for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solutions for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modular architecture to facilitate code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and collaborations effectively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testing plans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product releases and adherence to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enhance functionality and user experience,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successful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web applications, resulting in increased throughput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streamlining local development and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enabling the system to handle high volumes of incoming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high-quality functional user interfaces, implementing best accessibility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processes on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performance under load during peak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pull requests and provided feedback on code quality, advocating for clean coding principles and compliance with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dramatic reduction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automate repetitive tasks, resulting in a time savings of approximately 20%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HTML, CSS,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Express.js, 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Docker, Kubernetes, Heroku, Apache Kafka,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Visual Studio Code, IntelliJ IDEA, Eclipse,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TestNG, Cypress, SonarQube, JMeter, LoadRunner, Pact,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