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Senior Software Engineer with over 11 years of comprehensive experience in leading software development projects, specializing in high-performance applications. Proficient in a diverse tech stack including Java, Spring, Hibernate, and Microservices architecture. Demonstrated ability to leverage cutting-edge technologies to enhance application performance, optimize deployment processes, and ensure code quality through rigorous testing methodologies. Seeking to utilize my extensive background in a challenging engineering role focused on innovative solutions at Venon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architecture for a financial application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improving database interaction efficiency while reducing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backend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services, migrating legacy systems to a cloud-native architecture, resulting in improved operational cost and uptime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pipelines, increasing deployment frequency and reducing production downtime by automating testing and release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higher code coverage and early defect detection.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on-time delivery of project milestones and stakeholder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programming, code reviews, and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performance tuning and optimization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leading to an average improvement of 30% in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containerization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application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third-party libraries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streaming solutions, significantly enhancing data processing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an intuitive user experience and responsive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scalable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front-end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feature-rich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access and manipulation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database optimization efforts, improving performance of key queries and applications by utilizing index strategies and query refactoring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maintained a high standard of code quality, ensuring compliance with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and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robust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to 85%, reducing bugs in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functions for serverless computing models.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a REST API for a multi-tenant application focused on data security and user privacy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gaining positive feedback from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implement responsive designs, ensuring cross-browser compatibility and adherence to modern UI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back-end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interfacing with client-side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user-centric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contributed to the implementation of complex business logic and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capabilities by integrating with external APIs and libraries, including payment processing systems and data analytics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by employing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faster response rates for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deployment by managing release cycles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ensuring version control across multiple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squad, successfully delivering software features within 2-week sprints, leading to a 15% increase in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