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of robust engineering experience in software development, specializing in building scalable, reliable, and high-performance applications. Proficient in a diverse tech stack including Java, Spring Boot, Microservices, and RESTful APIs. Demonstrated ability to lead projects with a focus on best practices in software architecture, testing, and agile methodologies. Seeking to leverage extensive technical background and leadership skills at TrackVia to deliver innovative solutions and drive product excellence.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high-performance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handling complex business logic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for multiple services ensuring optimal performance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microservices architecture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innovative solutions,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and conducting daily scrums and retrospectives.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effective unit and integration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90% code coverage in critical application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version control and continuous integration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development and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performance through advanced query design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speed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enhance code quality and performance, ensuring adherence to coding standards and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 and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discussions and design sessions to effectively implement scalable solutions based on business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providing guidance on best practices in software engineering and fostering a culture of technical excellence.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management and engineering teams to develop new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which improved customer satisfaction ratings.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internal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processing tasks and automated reporting functions.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layer implementation, improving database interaction efficiency by ensuring optimal object-relational mapping.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pipelines resulting in increased deployment efficiency while reducing bugs by introducing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continuous integration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 tests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planning sessions moving towards 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structure to enhance scalability and maintainability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system troubleshooting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to diagnose and resolve issues arising in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contributed to team assessments of project specifications to ensure alignment with business goals while adhering to the principles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Prepared technical documentation illustrating service architectures and workflows, enhancing knowledge sharing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built enterprise-level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enabling seamless user authentication and data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cloud migration projects adapting current software infrastructure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standards, improving deployment capabilities by utilizing services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adopting modern front-end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dynamic webpage interactions for improved customer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services and APIs consumed by web applications supporting scalable workflows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performance and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database design and maintenance for projects powered by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 caching mechanisms resulting in faster application response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projects with iterative feedback loops, reducing time-to-market by 25% through effective project management and stakeholder communication.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Golang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Angular, React,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Methodologies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Agile, Scrum, TDD, CI/CD, Microservices Architecture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