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fast-paced, agile environments. Proven track record of developing and scaling high-impact applications. Adept at collaborating with cross-functional teams to deliver innovative solutions. Deep expertise in best practices for API design, code quality, and maintaining scalability within engineering teams. A self-starter who thrives in remote-first settings and champions high technical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sales teams to develop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the successful rollout of multiple feature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with thorough documentation, accelerating new developer onboarding processes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debugging and profiling techniques, improving page load times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uphold code quality by establishing comprehensive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reliability of our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best practices for code maintainability and review processes, fostering a culture that champions technical excellence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technical workshops on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systems, ensuring knowledge transfer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monitoring, leading to proactive resolutions of system bottlenecks before impacting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company-wide initiatives aimed at continuous improvement and exploration of new technologies, driving innovation within the development lifecycles.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full software development life cycle (SDLC) processes from concept to deployment using methods that emphasize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automation and efficiency in internal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transition from monolithic architectures to microservice-based solutions,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systems against regressions and functionality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code reviews and design discussions, instilling best practices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security,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critical issues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with real-time features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 protocols,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SQL databases, including optimization of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eCommerce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site performance and user interaction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features, enhancing the overall customer experience through real-time data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mobile-first applications with responsive design principles in mind,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usability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high-quality code through rigorous testing environments established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available in Ruby.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efficient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optimization in web applications,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new team members on best practices in software development, particularly around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design patterns, ensuring knowledge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successful migration of legacy systems to modern frameworks, enhancing maintainability and scalability opportunities, which led to project delivery completion ahead of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FastAPI,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Jasmine,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