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and implementing scalable, high-performance applications. Proficient in a variety of programming languages, frameworks, and modern tools. Focuses on backend development with expertise in Java, Spring Boot, and Microservices architecture. Demonstrated ability to lead projects and mentor junior developers while ensuring adherence to industry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the enhancement of an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migrating it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for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 counts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serverless solutions that enhanced user experience and reduced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the development team, emphasizing the importance of clean code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cycles and more reliable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latency and improve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protect sensitive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develop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interns, providing guidance on software development principles and modern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web-based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database schemas and performed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retrieval times by 25% across critical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 plans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boosting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ensure project milestones were met using Agile methodologies, leading to improved project visibility and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to expand application functionalities, improving overall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a cloud-based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during the transition.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facilitating better resource allocation and environment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customer relationship management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customer handling efficiency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design team to implement user-friendly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and configuration of applications within cloud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 responses utilizing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 practices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a seamless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microservices architecture enabling parallel development and deployment capabilities, contributing to a 20% reduction in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