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software development, system architecture, and project management. Proficient in modern frameworks and technologies such as Java, Spring Boot, React, and AWS. Adept at driving full software development lifecycle (SDLC) from requirements gathering to deployment. Strong background in building scalable web applications and microservices, optimizing performance, and ensuring high-quality deliverables through rigorous testing and continuous integration practices. Proven track record of leading cross-functional teams to deliver technology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and data exchange throughout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on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over 30%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create a serverless architecture, which decreased operational costs while maintaining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application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maintaining application stability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optimization techniques and thorough profiling, reducing load times by a significant margin.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project workshops and client meetings to gather requirements, subsequent translation into technical specifications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collaborations across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project completion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backlog grooming and sprint planning sessions, ensuring alignment between technical execution and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leading to a 20%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capabilities and enriching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high-performance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to secure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user data and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manual processes with custom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workflow and 25% time saving in operational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and performance enhancements,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software architecture, deployment strategies, and testing processes, enhancing team knowledge base and onboarding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cloud infrastructure management to support team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on multiple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related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maintain complex database schemas, optimizing queries for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collaborative workflows and enabling efficient code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and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interface and experience aspects.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by estimating work efforts and defining project timelines for successful on-time delivery, consistently achieving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