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extensive experience in developing scalable applications using a diverse technology stack. Proven ability to lead teams and deliver high-quality products while ensuring optimal coding standards and practices. Highly skilled in using frameworks such as React, Node.js, and Spring Boot to architect and implement solutions. Strong background in both front-end and back-end development, with a focus on delivering efficient and effective software solutions to meet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tested, and deployed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modularizing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with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performance optimization for existing applications which enhanced system reliability and maintained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deliver software solutions that exceed business goals, with a strong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updated software documentation to ensure compliance with architectural best practices, enhancing maintainability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and functionality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Overhauled the application's database schema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queries and performance, implemented indexing strategies, and enhanced overall database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tracking, ensuring seamless team collaboration and maintaining code integrity throughout development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RESTful APIs to facilitate interactions between the front-end and back-end, improving data handling efficiencies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 programs for junior developers in the organization focusing on best coding practices,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concepts, and software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updates that improved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and architecture discussions, promoting new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reduced data fetching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operational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reporting processes that reduced man-hours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data analysis project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generating insights that informed data-driven decisions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team of developers on multiple projects, ensuring adherence to timelines and quality standards across deliverables, specifically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management; established efficient data retrieval structures to support dynamic web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debugging for various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in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enhancing application security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user scalability for high-traffic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systems to manage and retrieve large volumes of data, optimizing queries for speed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REST API integration with third-party services, enhancing functionality for users through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user-friendly dynamically updating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optimizations and load testing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bottlenecks and improving solution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lead developer on a high-stakes project that increased company revenue by 15% through the innovative implementation of customer feedback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