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Python, Django, React, AWS, Docker, and Kubernetes, driving impactful solutions and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deliverables,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performance gain.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designed robust coding standards that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implemented best practices to safeguard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focusing on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their skills and project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supporting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and improve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fetching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bottlenecks and optimized application speed by 20% through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sessions, contributing to architectural decisions and technology stack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isolation and deployment 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web applications focusing on client-side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functionality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to ensure code quality and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processes, successfully reducing downtime during updates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