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specializing in Java, Spring Boot, REST APIs, Microservices, and Docker. Expert in leading architecture decisions, implementing robust solutions, and optimizing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and architectural decisions across multiple projects, focusing on best practices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high-quality software solutions on time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observability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a robust testing framework, increasing code coverage to 90%.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for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Performance-tuned existing applications, resulting in a 20% reduction in server response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requirement analysis with stakeholders to align project goals and timelines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to enhance application functionality, adhering to security best practices.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web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mentoring junior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influencing decisions on key components using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product team to gather requirements and translate them into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migrating legacy applications to a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improving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resulting in a 15% increase in data retrieval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integration of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simplifying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on system architecture and workflows using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troubleshoot and resolve issues, ensuring functional and regression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contributed to team knowledge sharing sessions.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 endpoints supporting mobile and web clients, improving client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applications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services like </w:t>
      </w:r>
      <w:r w:rsidRPr="00432203">
        <w:rPr>
          <w:rFonts w:asciiTheme="minorHAnsi" w:eastAsia="Times New Roman" w:hAnsiTheme="minorHAnsi" w:cs="Times New Roman"/>
          <w:b/>
          <w:bCs/>
          <w:lang w:val="en-US"/>
        </w:rPr>
        <w:t xml:space="preserve">EC2</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agile ceremonies, including daily stand-ups and sprint planning, improving team productivity.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 Python, 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Express, Django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Postman,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Confluence, Terraform, Ansible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