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software development, specializing in building high-performance, scalable applications using Java, Spring Boot, and microservices architecture. Proficient in leveraging modern technologies such as React, Docker, and Kubernetes to enhance application functionality and user experience. Demonstrated expertise in leading development teams, performing rigorous testing, and optimizing system performance while maintaining high-quality code standards at every stage of SDLC. A collaborative team player eager to contribute to innovative projects and drive growth within tech-oriented organizations.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modular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scalability and performance across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reliability and reduced bug occurrences by achieving a 95% code coverage metric.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development teams to iteratively design software, employing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k8s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resulting in streamlined deployments and enhanced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mentorship to junior developers,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observability into application health, leading to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contributing to user experience improvements through dynamic,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optimization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performance and overall database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align project goals, establishing efficient workflows and promoting collaborative software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database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complex enterprise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principles to handle high transaction volumes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user engagement metrics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facilitating streamlined database transactions and reducing query-related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CI/CD pipeline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builds and deployments, reducing deployment time by 30% over previous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knowledge sharing workshops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Testing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team members, elevating the skill set of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agile methodologies into the development processes, enhancing team dynamics and project adaptability.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 simplifying backend integration for front-end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ensuring reliable and fast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multiple full-cycle software development projects,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robust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user stories and technical requirements, improving the accuracy of project estimations.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team collaboration through feature branching and pull request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conduct unit testing, achieving a test automation coverage rate of about 70%, improving regression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refactoring legacy code to improve maintainability and performance, leveraging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the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client interaction sessions to gather feedback and iterate on project scope, resulting in 20% increase in user satisfaction rates at project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Microservices,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