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specializing in Java, Spring Boot, Microservices, SQL, and Docker. Skilled in building scalable applications and leading architectural initiatives. Proven track record in mentoring and optimizing CI/CD workflows.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solutions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discussions to enhance the microservices framework capabilities; streamlined technology adoption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application architecture, resulting in increased system scalability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adopting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enhancing code quality and reducing deployment lead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times by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ensure compliance with best practices in coding standards and performance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observability and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through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time and manual errors in production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performance benchmarks and advocated for using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better resource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application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reliability and reduce bug rates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disaster recovery plans to ensure business continuity using robust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Hibernate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w:t>
      </w:r>
      <w:r w:rsidRPr="00432203">
        <w:rPr>
          <w:rFonts w:asciiTheme="minorHAnsi" w:eastAsia="Times New Roman" w:hAnsiTheme="minorHAnsi" w:cs="Times New Roman"/>
          <w:b/>
          <w:bCs/>
          <w:lang w:val="en-US"/>
        </w:rPr>
        <w:t xml:space="preserve">RESTful 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 and enhancing code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to migrate legacy systems to modern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reducing technical debt by 50%.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architecting a microservices solution using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deployment agility.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code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improving team velocity and project delivery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database queries and optimization solutions for high-volume transaction systems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CI/CD pipelines ensuring quality standards and reducing release times.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core functionalities for web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system availability.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requirement gathering sessions with clients to provide tailored solutions utilizing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Hibernate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designs and implementations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application maintenance and troubleshooting, achieving a system uptime of over 99%.</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developing and maintaining code documentation for improved collaboration.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Refactored codebase to improve performance and maintainability, scaling seamlessly with increasing user demand.</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Go</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 Node.js, Express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Redis, Elasticsearch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AWS, CI/CD, Jenkins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 Cucumber, Postman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TeamCity, Visual Studio Code</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