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scalable applications using Java, Spring, Docker, Kubernetes, and React. Expertise in leading architectural decisions, performance optimization, and CI/CD practices, ensuring high code quality and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errors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strategies, resulting in a 40% reduction in response times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adherence to security best practices across the development lifecycle,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QA to align development processes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monitoring and logging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tracked progress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engineering principles, fostering an environment of continuous learning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high code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architecture to microservices for enhanced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performance optimization for high-traffic applications, leading to improved load times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ensuring technical solutions aligned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that streamlined workflows and enhanced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frameworks, improving system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coordinated efforts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closely with cross-functional teams to achieve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performance evaluations, contributing to a 15% increase in overall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Express.js,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Mockito,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