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specializing in developing robust applications using Spring Boot, Java, and Microservices architecture. Proven proficiency in implementing scalable solutions and enhancing application performance. Exceptional skills in RESTful API development, thorough testing, and deployment processes. Adept at collaborating with cross-functional teams to deliver high-quality software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high availability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containerized applications deploying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and deployment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consumed numerous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client applications, enhancing data accessibility and service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in critical service areas.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functional specifications and system designs, ensuring alignment with architectural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facilitating collaborative development and a streamlined workflow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and database procedures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fetch performance by up to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DevOps culture through CI/CD implementations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software release processes and reducing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of emerging technologies, attending workshops and training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enhancing skills in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extensive documentation for systems architecture, API endpoints, and deployment processes to support team knowledge sharing and continuity.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pair programming sessions, promoting code quality and fostering a culture of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full-stack applications integrating front-end technologies with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implementing SOLID principles and design patterns, significantly improving code maintainability and reducing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multi-threaded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asynchronous capabilities to enhance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modularity and reusability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feedback from application monitoring tools to refine application functionalities and user interactions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profiling and optimization on legacy systems which led to a 25% improvement in load times using advanced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front-end developers to establish UI design guidelines, resulting in a uniform application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to junior developers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code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client-server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modularity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back-end development expertise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complex database interactions and ORM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for front-end applications, reducing latency issues and improving client-side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automated builds leading to more efficient workflow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knowledge sharing sessions, fostering team collaboration and development best practices across engineering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troubleshooting and bug fixing processes, reducing the average resolution time for critical issues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software solutions that strictly adhered to OWASP security best practices, enhancing system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increase in customer satisfaction and retention rates by delivering high-quality software solutions within deadlines, achieving a 98% client satisfaction score.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